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05734" w14:textId="3C8F6854" w:rsidR="00B916C4" w:rsidRDefault="001255BB">
      <w:pPr>
        <w:rPr>
          <w:sz w:val="28"/>
          <w:szCs w:val="28"/>
        </w:rPr>
      </w:pPr>
      <w:r w:rsidRPr="001255BB">
        <w:rPr>
          <w:sz w:val="28"/>
          <w:szCs w:val="28"/>
        </w:rPr>
        <w:t>Local Government Reorganisation</w:t>
      </w:r>
      <w:r w:rsidR="009A585B">
        <w:rPr>
          <w:sz w:val="28"/>
          <w:szCs w:val="28"/>
        </w:rPr>
        <w:t xml:space="preserve"> – The plan is</w:t>
      </w:r>
    </w:p>
    <w:p w14:paraId="15D613BE" w14:textId="77777777" w:rsidR="00027A01" w:rsidRDefault="001255BB">
      <w:pPr>
        <w:rPr>
          <w:sz w:val="28"/>
          <w:szCs w:val="28"/>
        </w:rPr>
      </w:pPr>
      <w:r>
        <w:rPr>
          <w:sz w:val="28"/>
          <w:szCs w:val="28"/>
        </w:rPr>
        <w:t xml:space="preserve">CDC will </w:t>
      </w:r>
      <w:r w:rsidR="00EB043E">
        <w:rPr>
          <w:sz w:val="28"/>
          <w:szCs w:val="28"/>
        </w:rPr>
        <w:t>dissolve on</w:t>
      </w:r>
      <w:r>
        <w:rPr>
          <w:sz w:val="28"/>
          <w:szCs w:val="28"/>
        </w:rPr>
        <w:t xml:space="preserve"> either 27/4/27 but probably 27/4/28.</w:t>
      </w:r>
    </w:p>
    <w:p w14:paraId="16A819B6" w14:textId="0F56F3DD" w:rsidR="009A585B" w:rsidRDefault="00EB043E">
      <w:pPr>
        <w:rPr>
          <w:sz w:val="28"/>
          <w:szCs w:val="28"/>
        </w:rPr>
      </w:pPr>
      <w:r>
        <w:rPr>
          <w:sz w:val="28"/>
          <w:szCs w:val="28"/>
        </w:rPr>
        <w:t xml:space="preserve">GCC will </w:t>
      </w:r>
      <w:r w:rsidR="009A585B">
        <w:rPr>
          <w:sz w:val="28"/>
          <w:szCs w:val="28"/>
        </w:rPr>
        <w:t xml:space="preserve">dissolve on </w:t>
      </w:r>
      <w:r>
        <w:rPr>
          <w:sz w:val="28"/>
          <w:szCs w:val="28"/>
        </w:rPr>
        <w:t xml:space="preserve">27/4/27 </w:t>
      </w:r>
      <w:r w:rsidR="009A585B">
        <w:rPr>
          <w:sz w:val="28"/>
          <w:szCs w:val="28"/>
        </w:rPr>
        <w:t>but probable 27/4/28</w:t>
      </w:r>
    </w:p>
    <w:p w14:paraId="620640F7" w14:textId="7A532140" w:rsidR="009A585B" w:rsidRDefault="001255BB">
      <w:pPr>
        <w:rPr>
          <w:sz w:val="28"/>
          <w:szCs w:val="28"/>
        </w:rPr>
      </w:pPr>
      <w:r>
        <w:rPr>
          <w:sz w:val="28"/>
          <w:szCs w:val="28"/>
        </w:rPr>
        <w:t xml:space="preserve">Elections for an interim Unitary Authority will take place </w:t>
      </w:r>
      <w:r w:rsidR="00285883">
        <w:rPr>
          <w:sz w:val="28"/>
          <w:szCs w:val="28"/>
        </w:rPr>
        <w:t xml:space="preserve">during </w:t>
      </w:r>
      <w:r>
        <w:rPr>
          <w:sz w:val="28"/>
          <w:szCs w:val="28"/>
        </w:rPr>
        <w:t xml:space="preserve">May </w:t>
      </w:r>
      <w:r w:rsidR="002E3D71">
        <w:rPr>
          <w:sz w:val="28"/>
          <w:szCs w:val="28"/>
        </w:rPr>
        <w:t>20</w:t>
      </w:r>
      <w:r>
        <w:rPr>
          <w:sz w:val="28"/>
          <w:szCs w:val="28"/>
        </w:rPr>
        <w:t>27</w:t>
      </w:r>
      <w:r w:rsidR="00A12C23">
        <w:rPr>
          <w:sz w:val="28"/>
          <w:szCs w:val="28"/>
        </w:rPr>
        <w:t xml:space="preserve">.  CEO, 151 officer and monitoring officer </w:t>
      </w:r>
      <w:r w:rsidR="00E97D07">
        <w:rPr>
          <w:sz w:val="28"/>
          <w:szCs w:val="28"/>
        </w:rPr>
        <w:t>appointed shortly afterwards</w:t>
      </w:r>
    </w:p>
    <w:p w14:paraId="1C9578F3" w14:textId="402D9F2B" w:rsidR="00A12C23" w:rsidRDefault="00A12C23">
      <w:pPr>
        <w:rPr>
          <w:sz w:val="28"/>
          <w:szCs w:val="28"/>
        </w:rPr>
      </w:pPr>
      <w:r>
        <w:rPr>
          <w:sz w:val="28"/>
          <w:szCs w:val="28"/>
        </w:rPr>
        <w:t xml:space="preserve">Picture slowly evolving thanks to Forward Gloucester </w:t>
      </w:r>
    </w:p>
    <w:p w14:paraId="16600471" w14:textId="321517BD" w:rsidR="00EB043E" w:rsidRDefault="00960981">
      <w:pPr>
        <w:rPr>
          <w:sz w:val="28"/>
          <w:szCs w:val="28"/>
        </w:rPr>
      </w:pPr>
      <w:r>
        <w:rPr>
          <w:sz w:val="28"/>
          <w:szCs w:val="28"/>
        </w:rPr>
        <w:t xml:space="preserve">The Interim will run alongside CDC and GCC until Vestry Day. </w:t>
      </w:r>
      <w:r w:rsidR="00EB043E">
        <w:rPr>
          <w:sz w:val="28"/>
          <w:szCs w:val="28"/>
        </w:rPr>
        <w:t xml:space="preserve"> Existing County Councillors will not be grandfathered into new Unitary.</w:t>
      </w:r>
      <w:r w:rsidR="001255BB">
        <w:rPr>
          <w:sz w:val="28"/>
          <w:szCs w:val="28"/>
        </w:rPr>
        <w:t xml:space="preserve"> </w:t>
      </w:r>
    </w:p>
    <w:p w14:paraId="62937D80" w14:textId="2ACCBCD9" w:rsidR="001255BB" w:rsidRDefault="001255BB">
      <w:pPr>
        <w:rPr>
          <w:sz w:val="28"/>
          <w:szCs w:val="28"/>
        </w:rPr>
      </w:pPr>
      <w:r>
        <w:rPr>
          <w:sz w:val="28"/>
          <w:szCs w:val="28"/>
        </w:rPr>
        <w:t xml:space="preserve">Vestry Day </w:t>
      </w:r>
      <w:r w:rsidR="00960981">
        <w:rPr>
          <w:sz w:val="28"/>
          <w:szCs w:val="28"/>
        </w:rPr>
        <w:t xml:space="preserve">is expected to </w:t>
      </w:r>
      <w:r>
        <w:rPr>
          <w:sz w:val="28"/>
          <w:szCs w:val="28"/>
        </w:rPr>
        <w:t>be</w:t>
      </w:r>
      <w:r w:rsidR="00EB043E">
        <w:rPr>
          <w:sz w:val="28"/>
          <w:szCs w:val="28"/>
        </w:rPr>
        <w:t xml:space="preserve"> </w:t>
      </w:r>
      <w:r w:rsidR="00960981">
        <w:rPr>
          <w:sz w:val="28"/>
          <w:szCs w:val="28"/>
        </w:rPr>
        <w:t xml:space="preserve">1/5/27 but probably </w:t>
      </w:r>
      <w:r w:rsidR="00EB043E">
        <w:rPr>
          <w:sz w:val="28"/>
          <w:szCs w:val="28"/>
        </w:rPr>
        <w:t>1/5/28</w:t>
      </w:r>
    </w:p>
    <w:p w14:paraId="1710DC79" w14:textId="45FC7FB6" w:rsidR="00EB043E" w:rsidRDefault="00EB043E">
      <w:pPr>
        <w:rPr>
          <w:sz w:val="28"/>
          <w:szCs w:val="28"/>
        </w:rPr>
      </w:pPr>
      <w:r>
        <w:rPr>
          <w:sz w:val="28"/>
          <w:szCs w:val="28"/>
        </w:rPr>
        <w:t xml:space="preserve">All District Councils will put forward a submission to Government </w:t>
      </w:r>
      <w:r w:rsidR="009A585B">
        <w:rPr>
          <w:sz w:val="28"/>
          <w:szCs w:val="28"/>
        </w:rPr>
        <w:t>by 28</w:t>
      </w:r>
      <w:r w:rsidR="00027A01">
        <w:rPr>
          <w:sz w:val="28"/>
          <w:szCs w:val="28"/>
        </w:rPr>
        <w:t>th</w:t>
      </w:r>
      <w:r>
        <w:rPr>
          <w:sz w:val="28"/>
          <w:szCs w:val="28"/>
        </w:rPr>
        <w:t xml:space="preserve"> November 25 with a decision before summer recess in 2026</w:t>
      </w:r>
      <w:r w:rsidR="009A585B">
        <w:rPr>
          <w:sz w:val="28"/>
          <w:szCs w:val="28"/>
        </w:rPr>
        <w:t xml:space="preserve"> (16/7/2026)</w:t>
      </w:r>
      <w:r>
        <w:rPr>
          <w:sz w:val="28"/>
          <w:szCs w:val="28"/>
        </w:rPr>
        <w:t>.</w:t>
      </w:r>
    </w:p>
    <w:p w14:paraId="5AA634D4" w14:textId="5AA4FD70" w:rsidR="00EB043E" w:rsidRDefault="00960981">
      <w:pPr>
        <w:rPr>
          <w:sz w:val="28"/>
          <w:szCs w:val="28"/>
        </w:rPr>
      </w:pPr>
      <w:r>
        <w:rPr>
          <w:sz w:val="28"/>
          <w:szCs w:val="28"/>
        </w:rPr>
        <w:t>Government will decide on</w:t>
      </w:r>
      <w:r w:rsidR="00EB043E">
        <w:rPr>
          <w:sz w:val="28"/>
          <w:szCs w:val="28"/>
        </w:rPr>
        <w:t xml:space="preserve"> type of Unitary and number or councillors per ward</w:t>
      </w:r>
      <w:r>
        <w:rPr>
          <w:sz w:val="28"/>
          <w:szCs w:val="28"/>
        </w:rPr>
        <w:t xml:space="preserve"> (same wards as GCC at present)</w:t>
      </w:r>
      <w:r w:rsidR="00EB043E">
        <w:rPr>
          <w:sz w:val="28"/>
          <w:szCs w:val="28"/>
        </w:rPr>
        <w:t>.</w:t>
      </w:r>
      <w:r w:rsidR="00A12C23">
        <w:rPr>
          <w:sz w:val="28"/>
          <w:szCs w:val="28"/>
        </w:rPr>
        <w:t xml:space="preserve">  Expected two UA Councillor per ward.</w:t>
      </w:r>
      <w:r w:rsidR="00E97D07">
        <w:rPr>
          <w:sz w:val="28"/>
          <w:szCs w:val="28"/>
        </w:rPr>
        <w:t xml:space="preserve">  Expect one unitary GCC has already voted for this.</w:t>
      </w:r>
    </w:p>
    <w:p w14:paraId="19EB18B5" w14:textId="51910193" w:rsidR="005A41BE" w:rsidRPr="005A41BE" w:rsidRDefault="005A41BE">
      <w:pPr>
        <w:rPr>
          <w:sz w:val="28"/>
          <w:szCs w:val="28"/>
        </w:rPr>
      </w:pPr>
      <w:r w:rsidRPr="005A41BE">
        <w:rPr>
          <w:sz w:val="28"/>
          <w:szCs w:val="28"/>
        </w:rPr>
        <w:t>The single unitary authority model would inherit long-term assets with a total value of £4.4 billion on the reorganisation date but would also take on long-term liabilities of £1.1 billion which includes outstanding borrowing and a Dedicated Schools Grant (DSG) deficit of £234.3 million</w:t>
      </w:r>
      <w:r>
        <w:rPr>
          <w:sz w:val="28"/>
          <w:szCs w:val="28"/>
        </w:rPr>
        <w:t xml:space="preserve">.  Single unitary saves </w:t>
      </w:r>
      <w:r w:rsidRPr="005A41BE">
        <w:rPr>
          <w:sz w:val="28"/>
          <w:szCs w:val="28"/>
        </w:rPr>
        <w:t>£21.1m</w:t>
      </w:r>
      <w:r w:rsidRPr="005A41BE">
        <w:rPr>
          <w:sz w:val="28"/>
          <w:szCs w:val="28"/>
        </w:rPr>
        <w:t xml:space="preserve"> per year</w:t>
      </w:r>
    </w:p>
    <w:p w14:paraId="270DF2AB" w14:textId="48C315FD" w:rsidR="00EB043E" w:rsidRDefault="00EB043E">
      <w:pPr>
        <w:rPr>
          <w:sz w:val="28"/>
          <w:szCs w:val="28"/>
        </w:rPr>
      </w:pPr>
      <w:r>
        <w:rPr>
          <w:sz w:val="28"/>
          <w:szCs w:val="28"/>
        </w:rPr>
        <w:t>There will be financial restrictions</w:t>
      </w:r>
      <w:r w:rsidR="008218EA">
        <w:rPr>
          <w:sz w:val="28"/>
          <w:szCs w:val="28"/>
        </w:rPr>
        <w:t xml:space="preserve"> at GCC</w:t>
      </w:r>
      <w:r>
        <w:rPr>
          <w:sz w:val="28"/>
          <w:szCs w:val="28"/>
        </w:rPr>
        <w:t xml:space="preserve"> until Vestry Day</w:t>
      </w:r>
    </w:p>
    <w:p w14:paraId="55E5E631" w14:textId="1F1A4D07" w:rsidR="008218EA" w:rsidRDefault="008218EA">
      <w:pPr>
        <w:rPr>
          <w:sz w:val="28"/>
          <w:szCs w:val="28"/>
        </w:rPr>
      </w:pPr>
      <w:r>
        <w:rPr>
          <w:sz w:val="28"/>
          <w:szCs w:val="28"/>
        </w:rPr>
        <w:t>Cotswolds and Gloucester are a problem as many villages are unparished.</w:t>
      </w:r>
    </w:p>
    <w:p w14:paraId="458CC9A6" w14:textId="6FB49BB9" w:rsidR="008218EA" w:rsidRDefault="008218EA">
      <w:pPr>
        <w:rPr>
          <w:sz w:val="28"/>
          <w:szCs w:val="28"/>
        </w:rPr>
      </w:pPr>
      <w:r>
        <w:rPr>
          <w:sz w:val="28"/>
          <w:szCs w:val="28"/>
        </w:rPr>
        <w:t>Single Unity 110 Councillors Duel Unitary 52 East 58 West</w:t>
      </w:r>
    </w:p>
    <w:p w14:paraId="6E14CEDF" w14:textId="532E41CE" w:rsidR="004B0BB7" w:rsidRPr="00241A7B" w:rsidRDefault="004B0BB7" w:rsidP="004B0BB7">
      <w:pPr>
        <w:pStyle w:val="NormalWeb"/>
        <w:spacing w:before="0" w:beforeAutospacing="0" w:after="0" w:afterAutospacing="0"/>
        <w:rPr>
          <w:rFonts w:ascii="Aptos" w:eastAsiaTheme="minorEastAsia" w:hAnsi="Aptos" w:cs="Arial"/>
          <w:kern w:val="24"/>
          <w:sz w:val="28"/>
          <w:szCs w:val="28"/>
        </w:rPr>
      </w:pPr>
      <w:r w:rsidRPr="00241A7B">
        <w:rPr>
          <w:rFonts w:ascii="Aptos" w:eastAsiaTheme="minorEastAsia" w:hAnsi="Aptos" w:cs="Arial"/>
          <w:kern w:val="24"/>
          <w:sz w:val="28"/>
          <w:szCs w:val="28"/>
        </w:rPr>
        <w:t>New Unitary will establish ‘Neighbourhood Area Committees’</w:t>
      </w:r>
      <w:r w:rsidR="00027A01">
        <w:rPr>
          <w:rFonts w:ascii="Aptos" w:eastAsiaTheme="minorEastAsia" w:hAnsi="Aptos" w:cs="Arial"/>
          <w:kern w:val="24"/>
          <w:sz w:val="28"/>
          <w:szCs w:val="28"/>
        </w:rPr>
        <w:t xml:space="preserve"> (</w:t>
      </w:r>
      <w:r w:rsidR="002E3D71">
        <w:rPr>
          <w:rFonts w:ascii="Aptos" w:eastAsiaTheme="minorEastAsia" w:hAnsi="Aptos" w:cs="Arial"/>
          <w:kern w:val="24"/>
          <w:sz w:val="28"/>
          <w:szCs w:val="28"/>
        </w:rPr>
        <w:t xml:space="preserve">minimum 10 but hopefully </w:t>
      </w:r>
      <w:r w:rsidR="00027A01">
        <w:rPr>
          <w:rFonts w:ascii="Aptos" w:eastAsiaTheme="minorEastAsia" w:hAnsi="Aptos" w:cs="Arial"/>
          <w:kern w:val="24"/>
          <w:sz w:val="28"/>
          <w:szCs w:val="28"/>
        </w:rPr>
        <w:t>between 15 and 20)</w:t>
      </w:r>
      <w:r w:rsidRPr="00241A7B">
        <w:rPr>
          <w:rFonts w:ascii="Aptos" w:eastAsiaTheme="minorEastAsia" w:hAnsi="Aptos" w:cs="Arial"/>
          <w:kern w:val="24"/>
          <w:sz w:val="28"/>
          <w:szCs w:val="28"/>
        </w:rPr>
        <w:t>.  Guidance on these will follow but that why we had the recent survey but aim is for populations of between 30k-50k</w:t>
      </w:r>
      <w:r w:rsidR="00A12C23">
        <w:rPr>
          <w:rFonts w:ascii="Aptos" w:eastAsiaTheme="minorEastAsia" w:hAnsi="Aptos" w:cs="Arial"/>
          <w:kern w:val="24"/>
          <w:sz w:val="28"/>
          <w:szCs w:val="28"/>
        </w:rPr>
        <w:t>.  30% of Cotswolds is rural</w:t>
      </w:r>
    </w:p>
    <w:p w14:paraId="59BD6C73" w14:textId="77777777" w:rsidR="004B0BB7" w:rsidRPr="00241A7B" w:rsidRDefault="004B0BB7" w:rsidP="004B0BB7">
      <w:pPr>
        <w:pStyle w:val="NormalWeb"/>
        <w:spacing w:before="0" w:beforeAutospacing="0" w:after="0" w:afterAutospacing="0"/>
        <w:rPr>
          <w:rFonts w:ascii="Aptos" w:eastAsiaTheme="minorEastAsia" w:hAnsi="Aptos" w:cs="Arial"/>
          <w:kern w:val="24"/>
          <w:sz w:val="28"/>
          <w:szCs w:val="28"/>
        </w:rPr>
      </w:pPr>
    </w:p>
    <w:p w14:paraId="623CEF29" w14:textId="71ADCC87" w:rsidR="004B0BB7" w:rsidRPr="00241A7B" w:rsidRDefault="004B0BB7">
      <w:pPr>
        <w:rPr>
          <w:rFonts w:ascii="Aptos" w:eastAsiaTheme="minorEastAsia" w:hAnsi="Aptos" w:cs="Arial"/>
          <w:kern w:val="24"/>
          <w:sz w:val="28"/>
          <w:szCs w:val="28"/>
        </w:rPr>
      </w:pPr>
      <w:r w:rsidRPr="00241A7B">
        <w:rPr>
          <w:rFonts w:ascii="Aptos" w:eastAsiaTheme="minorEastAsia" w:hAnsi="Aptos" w:cs="Arial"/>
          <w:kern w:val="24"/>
          <w:sz w:val="28"/>
          <w:szCs w:val="28"/>
        </w:rPr>
        <w:t>Aim to give More community power, better people outcomes, places more in control of places – Committees expected to be Ward Councillors</w:t>
      </w:r>
      <w:r w:rsidR="00027A01">
        <w:rPr>
          <w:rFonts w:ascii="Aptos" w:eastAsiaTheme="minorEastAsia" w:hAnsi="Aptos" w:cs="Arial"/>
          <w:kern w:val="24"/>
          <w:sz w:val="28"/>
          <w:szCs w:val="28"/>
        </w:rPr>
        <w:t xml:space="preserve"> and </w:t>
      </w:r>
      <w:r w:rsidRPr="00241A7B">
        <w:rPr>
          <w:rFonts w:ascii="Aptos" w:eastAsiaTheme="minorEastAsia" w:hAnsi="Aptos" w:cs="Arial"/>
          <w:kern w:val="24"/>
          <w:sz w:val="28"/>
          <w:szCs w:val="28"/>
        </w:rPr>
        <w:t>elected parish councillors</w:t>
      </w:r>
      <w:r w:rsidR="00027A01">
        <w:rPr>
          <w:rFonts w:ascii="Aptos" w:eastAsiaTheme="minorEastAsia" w:hAnsi="Aptos" w:cs="Arial"/>
          <w:kern w:val="24"/>
          <w:sz w:val="28"/>
          <w:szCs w:val="28"/>
        </w:rPr>
        <w:t xml:space="preserve"> plus possibly NHS staff and support staff</w:t>
      </w:r>
      <w:r w:rsidRPr="00241A7B">
        <w:rPr>
          <w:rFonts w:ascii="Aptos" w:eastAsiaTheme="minorEastAsia" w:hAnsi="Aptos" w:cs="Arial"/>
          <w:kern w:val="24"/>
          <w:sz w:val="28"/>
          <w:szCs w:val="28"/>
        </w:rPr>
        <w:t>.  No planning permission but input into planning hubs.</w:t>
      </w:r>
    </w:p>
    <w:p w14:paraId="468E3157" w14:textId="0A82E899" w:rsidR="004B0BB7" w:rsidRPr="00241A7B" w:rsidRDefault="004B0BB7" w:rsidP="004B0BB7">
      <w:pPr>
        <w:pStyle w:val="NormalWeb"/>
        <w:spacing w:before="0" w:beforeAutospacing="0" w:after="0" w:afterAutospacing="0"/>
        <w:rPr>
          <w:rFonts w:ascii="Aptos" w:eastAsiaTheme="minorEastAsia" w:hAnsi="Aptos" w:cs="Arial"/>
          <w:kern w:val="24"/>
          <w:sz w:val="28"/>
          <w:szCs w:val="28"/>
        </w:rPr>
      </w:pPr>
      <w:r w:rsidRPr="00241A7B">
        <w:rPr>
          <w:rFonts w:ascii="Aptos" w:eastAsiaTheme="minorEastAsia" w:hAnsi="Aptos" w:cs="Arial"/>
          <w:kern w:val="24"/>
          <w:sz w:val="28"/>
          <w:szCs w:val="28"/>
        </w:rPr>
        <w:t>Draft programme for neighbourhood areas is to provide</w:t>
      </w:r>
    </w:p>
    <w:p w14:paraId="05051184" w14:textId="25671266" w:rsidR="004B0BB7" w:rsidRPr="00241A7B" w:rsidRDefault="004B0BB7" w:rsidP="004B0BB7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kern w:val="24"/>
          <w:sz w:val="28"/>
          <w:szCs w:val="28"/>
        </w:rPr>
      </w:pPr>
      <w:r w:rsidRPr="00241A7B">
        <w:rPr>
          <w:rFonts w:ascii="Aptos" w:eastAsiaTheme="minorEastAsia" w:hAnsi="Aptos" w:cs="Arial"/>
          <w:kern w:val="24"/>
          <w:sz w:val="28"/>
          <w:szCs w:val="28"/>
        </w:rPr>
        <w:lastRenderedPageBreak/>
        <w:t xml:space="preserve">A focal point for access to and accountability for council </w:t>
      </w:r>
      <w:proofErr w:type="gramStart"/>
      <w:r w:rsidRPr="00241A7B">
        <w:rPr>
          <w:rFonts w:ascii="Aptos" w:eastAsiaTheme="minorEastAsia" w:hAnsi="Aptos" w:cs="Arial"/>
          <w:kern w:val="24"/>
          <w:sz w:val="28"/>
          <w:szCs w:val="28"/>
        </w:rPr>
        <w:t>services;</w:t>
      </w:r>
      <w:proofErr w:type="gramEnd"/>
      <w:r w:rsidRPr="00241A7B">
        <w:rPr>
          <w:rFonts w:asciiTheme="minorHAnsi" w:eastAsiaTheme="minorEastAsia" w:hAnsiTheme="minorHAnsi" w:cs="Arial"/>
          <w:kern w:val="24"/>
          <w:sz w:val="28"/>
          <w:szCs w:val="28"/>
        </w:rPr>
        <w:t xml:space="preserve"> </w:t>
      </w:r>
    </w:p>
    <w:p w14:paraId="0AE0AA32" w14:textId="7E39ACD1" w:rsidR="004B0BB7" w:rsidRPr="00241A7B" w:rsidRDefault="004B0BB7" w:rsidP="004B0BB7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kern w:val="24"/>
          <w:sz w:val="28"/>
          <w:szCs w:val="28"/>
        </w:rPr>
      </w:pPr>
      <w:r w:rsidRPr="00241A7B">
        <w:rPr>
          <w:rFonts w:asciiTheme="minorHAnsi" w:eastAsiaTheme="minorEastAsia" w:hAnsiTheme="minorHAnsi" w:cs="Arial"/>
          <w:kern w:val="24"/>
          <w:sz w:val="28"/>
          <w:szCs w:val="28"/>
        </w:rPr>
        <w:t>Part of the new Council/s constitution and target operating model (TOM)</w:t>
      </w:r>
    </w:p>
    <w:p w14:paraId="52637B3A" w14:textId="77777777" w:rsidR="004B0BB7" w:rsidRPr="00241A7B" w:rsidRDefault="004B0BB7" w:rsidP="004B0BB7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kern w:val="24"/>
          <w:sz w:val="28"/>
          <w:szCs w:val="28"/>
        </w:rPr>
      </w:pPr>
      <w:r w:rsidRPr="00241A7B">
        <w:rPr>
          <w:rFonts w:asciiTheme="minorHAnsi" w:eastAsiaTheme="minorEastAsia" w:hAnsiTheme="minorHAnsi" w:cs="Arial"/>
          <w:kern w:val="24"/>
          <w:sz w:val="28"/>
          <w:szCs w:val="28"/>
        </w:rPr>
        <w:t>Working closely with parishes in the area</w:t>
      </w:r>
    </w:p>
    <w:p w14:paraId="05CF52E1" w14:textId="77777777" w:rsidR="00241A7B" w:rsidRDefault="00241A7B" w:rsidP="00241A7B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kern w:val="24"/>
          <w:sz w:val="28"/>
          <w:szCs w:val="28"/>
        </w:rPr>
      </w:pPr>
      <w:r w:rsidRPr="00241A7B">
        <w:rPr>
          <w:rFonts w:asciiTheme="minorHAnsi" w:eastAsiaTheme="minorEastAsia" w:hAnsiTheme="minorHAnsi" w:cs="Arial"/>
          <w:kern w:val="24"/>
          <w:sz w:val="28"/>
          <w:szCs w:val="28"/>
        </w:rPr>
        <w:t>Greater agency for people and local places</w:t>
      </w:r>
    </w:p>
    <w:p w14:paraId="03AEED47" w14:textId="77777777" w:rsidR="00241A7B" w:rsidRDefault="00241A7B" w:rsidP="00241A7B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kern w:val="24"/>
          <w:sz w:val="28"/>
          <w:szCs w:val="28"/>
        </w:rPr>
      </w:pPr>
    </w:p>
    <w:p w14:paraId="644BD798" w14:textId="68FE782F" w:rsidR="00241A7B" w:rsidRPr="00241A7B" w:rsidRDefault="00241A7B" w:rsidP="00241A7B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Theme="minorEastAsia" w:hAnsi="Arial" w:cs="Arial"/>
          <w:color w:val="000000" w:themeColor="text1"/>
          <w:kern w:val="24"/>
          <w:sz w:val="27"/>
          <w:szCs w:val="27"/>
          <w:lang w:eastAsia="en-GB"/>
          <w14:ligatures w14:val="none"/>
        </w:rPr>
        <w:t>R</w:t>
      </w:r>
      <w:r w:rsidRPr="00241A7B">
        <w:rPr>
          <w:rFonts w:ascii="Arial" w:eastAsiaTheme="minorEastAsia" w:hAnsi="Arial" w:cs="Arial"/>
          <w:color w:val="000000" w:themeColor="text1"/>
          <w:kern w:val="24"/>
          <w:sz w:val="27"/>
          <w:szCs w:val="27"/>
          <w:lang w:eastAsia="en-GB"/>
          <w14:ligatures w14:val="none"/>
        </w:rPr>
        <w:t>esearch suggests that neighbourhood models work best when:</w:t>
      </w:r>
    </w:p>
    <w:p w14:paraId="4C9ADBC1" w14:textId="77777777" w:rsidR="00241A7B" w:rsidRPr="00241A7B" w:rsidRDefault="00241A7B" w:rsidP="00241A7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7"/>
          <w:szCs w:val="24"/>
          <w:lang w:eastAsia="en-GB"/>
          <w14:ligatures w14:val="none"/>
        </w:rPr>
      </w:pPr>
      <w:r w:rsidRPr="00241A7B">
        <w:rPr>
          <w:rFonts w:ascii="Arial" w:eastAsiaTheme="minorEastAsia" w:hAnsi="Arial" w:cs="Arial"/>
          <w:color w:val="000000" w:themeColor="text1"/>
          <w:kern w:val="24"/>
          <w:sz w:val="27"/>
          <w:szCs w:val="27"/>
          <w:lang w:eastAsia="en-GB"/>
          <w14:ligatures w14:val="none"/>
        </w:rPr>
        <w:t>They are large enough to draw in capacity, funding and service/partner focus</w:t>
      </w:r>
    </w:p>
    <w:p w14:paraId="6BED466A" w14:textId="77777777" w:rsidR="00241A7B" w:rsidRPr="002E3D71" w:rsidRDefault="00241A7B" w:rsidP="00241A7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7"/>
          <w:szCs w:val="24"/>
          <w:lang w:eastAsia="en-GB"/>
          <w14:ligatures w14:val="none"/>
        </w:rPr>
      </w:pPr>
      <w:r w:rsidRPr="00241A7B">
        <w:rPr>
          <w:rFonts w:ascii="Arial" w:eastAsiaTheme="minorEastAsia" w:hAnsi="Arial" w:cs="Arial"/>
          <w:color w:val="000000" w:themeColor="text1"/>
          <w:kern w:val="24"/>
          <w:sz w:val="27"/>
          <w:szCs w:val="27"/>
          <w:lang w:eastAsia="en-GB"/>
          <w14:ligatures w14:val="none"/>
        </w:rPr>
        <w:t>But small enough to make sense to local people and reflective of ‘natural communities’</w:t>
      </w:r>
    </w:p>
    <w:p w14:paraId="4D2CFA1C" w14:textId="77777777" w:rsidR="002E3D71" w:rsidRPr="00241A7B" w:rsidRDefault="002E3D71" w:rsidP="00241A7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7"/>
          <w:szCs w:val="24"/>
          <w:lang w:eastAsia="en-GB"/>
          <w14:ligatures w14:val="none"/>
        </w:rPr>
      </w:pPr>
    </w:p>
    <w:p w14:paraId="25E7A7FD" w14:textId="76BA9EE4" w:rsidR="004B0BB7" w:rsidRPr="00241A7B" w:rsidRDefault="00241A7B" w:rsidP="004B0BB7">
      <w:pPr>
        <w:numPr>
          <w:ilvl w:val="0"/>
          <w:numId w:val="1"/>
        </w:numPr>
        <w:spacing w:after="0" w:line="240" w:lineRule="auto"/>
        <w:contextualSpacing/>
        <w:rPr>
          <w:rFonts w:ascii="Aptos" w:hAnsi="Aptos"/>
          <w:sz w:val="28"/>
          <w:szCs w:val="28"/>
        </w:rPr>
      </w:pPr>
      <w:r w:rsidRPr="00241A7B">
        <w:rPr>
          <w:rFonts w:ascii="Arial" w:eastAsiaTheme="minorEastAsia" w:hAnsi="Arial" w:cs="Arial"/>
          <w:color w:val="000000" w:themeColor="text1"/>
          <w:kern w:val="24"/>
          <w:sz w:val="27"/>
          <w:szCs w:val="27"/>
          <w:lang w:eastAsia="en-GB"/>
          <w14:ligatures w14:val="none"/>
        </w:rPr>
        <w:t xml:space="preserve">Each neighbourhood would typically contain a town and </w:t>
      </w:r>
      <w:proofErr w:type="gramStart"/>
      <w:r w:rsidRPr="00241A7B">
        <w:rPr>
          <w:rFonts w:ascii="Arial" w:eastAsiaTheme="minorEastAsia" w:hAnsi="Arial" w:cs="Arial"/>
          <w:color w:val="000000" w:themeColor="text1"/>
          <w:kern w:val="24"/>
          <w:sz w:val="27"/>
          <w:szCs w:val="27"/>
          <w:lang w:eastAsia="en-GB"/>
          <w14:ligatures w14:val="none"/>
        </w:rPr>
        <w:t>a number of</w:t>
      </w:r>
      <w:proofErr w:type="gramEnd"/>
      <w:r w:rsidRPr="00241A7B">
        <w:rPr>
          <w:rFonts w:ascii="Arial" w:eastAsiaTheme="minorEastAsia" w:hAnsi="Arial" w:cs="Arial"/>
          <w:color w:val="000000" w:themeColor="text1"/>
          <w:kern w:val="24"/>
          <w:sz w:val="27"/>
          <w:szCs w:val="27"/>
          <w:lang w:eastAsia="en-GB"/>
          <w14:ligatures w14:val="none"/>
        </w:rPr>
        <w:t xml:space="preserve"> parishes</w:t>
      </w:r>
    </w:p>
    <w:sectPr w:rsidR="004B0BB7" w:rsidRPr="00241A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74443"/>
    <w:multiLevelType w:val="hybridMultilevel"/>
    <w:tmpl w:val="48265020"/>
    <w:lvl w:ilvl="0" w:tplc="407EA4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824A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C83C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F24D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D4FA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1E18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6A71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E6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C487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37152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5BB"/>
    <w:rsid w:val="00027A01"/>
    <w:rsid w:val="001255BB"/>
    <w:rsid w:val="00241A7B"/>
    <w:rsid w:val="002774B8"/>
    <w:rsid w:val="00285883"/>
    <w:rsid w:val="002E3D71"/>
    <w:rsid w:val="004B0BB7"/>
    <w:rsid w:val="004C6542"/>
    <w:rsid w:val="005A41BE"/>
    <w:rsid w:val="006161D2"/>
    <w:rsid w:val="00632964"/>
    <w:rsid w:val="008218EA"/>
    <w:rsid w:val="00944735"/>
    <w:rsid w:val="00960981"/>
    <w:rsid w:val="0097688D"/>
    <w:rsid w:val="009A585B"/>
    <w:rsid w:val="009F4C9F"/>
    <w:rsid w:val="00A12C23"/>
    <w:rsid w:val="00AF2397"/>
    <w:rsid w:val="00B916C4"/>
    <w:rsid w:val="00CF3BCF"/>
    <w:rsid w:val="00E97D07"/>
    <w:rsid w:val="00EB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1EE9A"/>
  <w15:chartTrackingRefBased/>
  <w15:docId w15:val="{853492FA-E183-421B-B903-C4F5B7F7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55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5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5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55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55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55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55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55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55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5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55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5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55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55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55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55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55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55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55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5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55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55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5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55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55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55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55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55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55B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B0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 Wilkins</dc:creator>
  <cp:keywords/>
  <dc:description/>
  <cp:lastModifiedBy>Len Wilkins</cp:lastModifiedBy>
  <cp:revision>12</cp:revision>
  <dcterms:created xsi:type="dcterms:W3CDTF">2025-09-14T19:59:00Z</dcterms:created>
  <dcterms:modified xsi:type="dcterms:W3CDTF">2025-11-13T16:40:00Z</dcterms:modified>
</cp:coreProperties>
</file>